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4264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关于信息设备挂网市场调研的公告</w:t>
      </w:r>
    </w:p>
    <w:p w14:paraId="4A7457D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为强化我院信息基础设施建设，提升网络质量与网络安全，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我院拟购置一批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信息设备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，拟进行市场调研，现就进行市场询价公告如下。</w:t>
      </w:r>
    </w:p>
    <w:p w14:paraId="035EA37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一、报名须具备条件</w:t>
      </w:r>
    </w:p>
    <w:p w14:paraId="04FA6F1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.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具有独立法人资格，有固定的办公和营业场地，能独立承担法律责任；</w:t>
      </w:r>
    </w:p>
    <w:p w14:paraId="2A9F6F7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.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具有良好的商业信誉和健全的财务会计制度；</w:t>
      </w:r>
    </w:p>
    <w:p w14:paraId="00A1C6A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.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具有履行合同所必备的设备和专业技术能力；</w:t>
      </w:r>
    </w:p>
    <w:p w14:paraId="78642A9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.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具有依法缴纳税收和社会保障资金的良好记录；</w:t>
      </w:r>
    </w:p>
    <w:p w14:paraId="453851B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.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此前在经营中无违法记录。</w:t>
      </w:r>
    </w:p>
    <w:p w14:paraId="71A69F0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FF0000"/>
          <w:spacing w:val="0"/>
          <w:sz w:val="33"/>
          <w:szCs w:val="33"/>
          <w:shd w:val="clear" w:fill="FFFFFF"/>
        </w:rPr>
        <w:t>二、调研须提供书面材料</w:t>
      </w:r>
    </w:p>
    <w:p w14:paraId="15271C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.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有效的营业执照副本（年检合格）；</w:t>
      </w:r>
    </w:p>
    <w:p w14:paraId="1046F5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.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组织机构代码证副本（年检合格）；</w:t>
      </w:r>
    </w:p>
    <w:p w14:paraId="447C3CA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.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税务登记证（年检合格）（已实行三证合一的只需提供营业执照复印件）；</w:t>
      </w:r>
    </w:p>
    <w:p w14:paraId="5490901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4. 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产品报价单（附件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，产品报价单）；</w:t>
      </w:r>
    </w:p>
    <w:p w14:paraId="2E38F68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5. 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近两年内已采购本公司提供的产品的单位名称；</w:t>
      </w:r>
    </w:p>
    <w:p w14:paraId="01AAEE0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6. 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提供承诺书，承诺交来的所有资质，皆为原件复印件且真实有效。提供虚假资料者取消后续采购报名资格，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年内禁入医院并追究相关法律责任。</w:t>
      </w:r>
    </w:p>
    <w:p w14:paraId="07EF2B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三、报名时间、地点及方式</w:t>
      </w:r>
    </w:p>
    <w:p w14:paraId="45F3F99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报名截止时间为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日下午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点；</w:t>
      </w:r>
    </w:p>
    <w:p w14:paraId="6C07CDD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报名地点：广安市中医医院信息管理部（广安区翠屏路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号，广安市中医医院门诊楼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楼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422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室）（或邮寄材料报名）。</w:t>
      </w:r>
    </w:p>
    <w:p w14:paraId="3034CE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default" w:ascii="Times New Roman" w:hAnsi="Times New Roman" w:eastAsia="微软雅黑" w:cs="Times New Roman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注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1.所有报名书面材料均需要加盖公司公章；</w:t>
      </w:r>
    </w:p>
    <w:p w14:paraId="24A36852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660" w:leftChars="0" w:right="0" w:rightChars="0" w:firstLine="660" w:firstLineChars="200"/>
        <w:jc w:val="left"/>
        <w:rPr>
          <w:rStyle w:val="10"/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</w:pPr>
      <w:r>
        <w:rPr>
          <w:rStyle w:val="10"/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2.</w:t>
      </w:r>
      <w:r>
        <w:rPr>
          <w:rStyle w:val="10"/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本次报价包含调测费、安装费、培训费等费用。</w:t>
      </w:r>
    </w:p>
    <w:p w14:paraId="1151C0F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联系人：蒋老师   联系电话：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15284941997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 </w:t>
      </w:r>
    </w:p>
    <w:p w14:paraId="7FD0ADE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附件：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信息设备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基础参数及功能要求</w:t>
      </w:r>
    </w:p>
    <w:p w14:paraId="0A6DB41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165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产品报价表</w:t>
      </w:r>
    </w:p>
    <w:p w14:paraId="3377E9B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165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         </w:t>
      </w:r>
    </w:p>
    <w:p w14:paraId="1EE2DBC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165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                         广安市中医医院</w:t>
      </w:r>
    </w:p>
    <w:p w14:paraId="4EB91F4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1650" w:right="0" w:firstLine="0"/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                       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日</w:t>
      </w:r>
    </w:p>
    <w:p w14:paraId="1BEF46B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1650" w:right="0" w:firstLine="0"/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</w:pPr>
    </w:p>
    <w:p w14:paraId="659218D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1650" w:right="0" w:firstLine="0"/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</w:pPr>
    </w:p>
    <w:p w14:paraId="7DB292A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1650" w:right="0" w:firstLine="0"/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</w:pPr>
    </w:p>
    <w:p w14:paraId="546495C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1650" w:right="0" w:firstLine="0"/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</w:pPr>
    </w:p>
    <w:p w14:paraId="7F6F833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1650" w:right="0" w:firstLine="0"/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</w:pPr>
    </w:p>
    <w:p w14:paraId="16E5880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1650" w:right="0" w:firstLine="0"/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</w:pPr>
    </w:p>
    <w:p w14:paraId="2B06E30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1650" w:right="0" w:firstLine="0"/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</w:pPr>
    </w:p>
    <w:p w14:paraId="0230F9A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1650" w:right="0" w:firstLine="0"/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</w:pPr>
    </w:p>
    <w:p w14:paraId="4B2FAFA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1650" w:right="0" w:firstLine="0"/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</w:pPr>
    </w:p>
    <w:p w14:paraId="36C73359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br w:type="page"/>
      </w:r>
    </w:p>
    <w:p w14:paraId="717F4A7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1650" w:right="0" w:firstLine="0"/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3B1F66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</w:pPr>
    </w:p>
    <w:p w14:paraId="58CDE683">
      <w:pP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附件1</w:t>
      </w:r>
    </w:p>
    <w:p w14:paraId="51CD4ED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信息设备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基础参数及功能要求</w:t>
      </w:r>
    </w:p>
    <w:tbl>
      <w:tblPr>
        <w:tblStyle w:val="7"/>
        <w:tblW w:w="145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490"/>
        <w:gridCol w:w="733"/>
        <w:gridCol w:w="733"/>
        <w:gridCol w:w="9870"/>
      </w:tblGrid>
      <w:tr w14:paraId="2867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E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F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机房动环监控系统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A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3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D7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1、接口采用标准的网口、RS485/等标准化接口，标准行业19寸机架式结构。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2、支持模拟量输入接口，4-20mA电压或电流等带电流环接口的传感器（ 其它电流、电流可定制）。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3、支持继电器输出接口，可实现联动告警输出，灯光控制等等。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4、支持空调控制接口，可以实现空调的自动开关控制。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5、支持温湿度探头接口，实现对1个温湿度监测点的监控。温度范围 -40-125湿度范围 0-100%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6、支持RS485总线接口，适配多种485总线模块，最多可接64路485总线模块。                      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7、支持12伏后备电池接口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8、可通过RS485对设备进行固件升级或者厂家调试。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9、支持定时（每天/每星期/每月）通过短信方式报告监控系统的工作状态。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10、支持12V蓄电池备用电源接口（当机房意外停电时自动启用后备电源）。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11、GSM卡接口，内置GSM电话模块，支持短信+电话语音报警；支持SMTP邮件报警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12、支持RJ45以太网接口、                                                     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13、SD卡槽：存储历史数据、报警数据、系统日志等                                        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14、内置声光报警器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15、支持网络远程固件升级。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16、设备DC供电。                                                     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17、支持C/S, B/S结构，主机内嵌WEB 服务器，可以通过浏览器查看及管理，支持MODBUS_RTU协议；报警主机支持SNMP协议，MODBUS_UDP协议，TCP协议。</w:t>
            </w:r>
          </w:p>
        </w:tc>
      </w:tr>
      <w:tr w14:paraId="4471D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C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E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中心母钟服务器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E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F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66A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标准19英寸机架式机箱；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2、支持接收BD标准时间信号做参考源；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3、支持分别配置不同网段的IP地址，可同步局域网计算机及其它支持NTP协议软件设备的时间；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4、同时支持NTP V1～V4、SNTP4、0、Telnet、HTTP等协议。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5、支持2个及以上10/100M（自适应）以太网接口，每秒NTP请求响应数：≥10000个；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6、输入信号：Time Code：BNC或DB9；网络时间同步精度：TCP/IP网络上的NTP：1-10ms；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7、输出信号：10BaseT/100BaseT以太网接口/RJ45用于NTP，Time Code：BNC或DB9；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8、工作温度：-10℃～+65℃，相对湿度：≤95％；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9、平均无故障时间（MTBF）：≥8万小时；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10、工作电源：AC220V±15%，50Hz±5%。</w:t>
            </w:r>
          </w:p>
          <w:p w14:paraId="0C8157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11、含卫星天线及馈线（接口方式：SAM接口 、平均无故障时间：8万小时以上）</w:t>
            </w:r>
          </w:p>
          <w:p w14:paraId="50359F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12、含避雷器（工作频率：0-2.5GHz、最大通流容量：20kA、限制电压：≤200V、防护等级：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IP65）</w:t>
            </w:r>
          </w:p>
        </w:tc>
      </w:tr>
      <w:tr w14:paraId="1EA97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8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2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防火墙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C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10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 具备千兆电口≥8个，千兆光口≥2个，支持扩展槽≥2个，高度≤1U，配置1T硬盘，双电源；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 整机吞吐量≥10Gbps，每秒新建连接数≥7万，最大并发连接数≥300万；含三年病毒库、IPS库、APP+URL+WAF三年升级授权；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 为便于运维，硬件面板应支持专门的一键重启按键，必要时可在不登录设备的情况下一键重启设备。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 支持自动生成安全策略。统一管理平台可通过对流量日志的统计整理，自动生成安全策略，并下发给防火墙设备，提高运维人员工作效率；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 支持通过命令行的方式对设备内部数据流进行分析，可快速定位造成故障的防火墙内部功能模块，便于进行故障排查（提供具备CNAS标识的第三方检测报告）；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 支持基于不同安全策略设定会话长连接老化时间（提供具备CNAS标识的第三方检测报告）；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 支持多虚一部署，可将两台物理设备虚拟化成一台逻辑上的设备（提供具备CNAS标识的第三方检测报告）；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 支持将一台逻辑上的设备虚拟化成多个虚拟防火墙，并可查看各虚拟防火墙的CPU和内存利用率、新建、并发和吞吐信息，并可单独重启特定虚拟防火墙（提供具备CNAS标识的第三方检测报告）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 支持MPLS（提供具备CNAS标识的第三方检测报告）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 为保证业务连通性，设备支持CPU利用率过高时，自动停用部分应用层攻击防护功能（提供具备CNAS标识第三方检测报告）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12、 支持配置回滚，并可对比回滚前后配置文件中的不同（提供具备CNAS标识第三方检测报告）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13、 支持对安全策略进行冗余分析，并支持按不同时间段筛选未匹配的策略功能，且可以对其进行禁/启用或者删除操作。（提供具备CNAS标识第三方检测报告）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14、为保证可靠性，设备支持双机热备，且主备切换时丢包不超过3个（提供具备CNAS标识第三方检测报告）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15、为保证业务连通性，设备在特征库升级时不影响系统转发（提供具备CNAS标识第三方检测报告）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16、支持IP信誉黑名单（提供具备CNAS标识第三方检测报告）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17、支持IPv6与IPv4互访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18、访问控制策略支持基于源/目的IP，源/目的端口，源/目的区域，用户（组），应用/服务类型的细化控制方式；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19、支持二层模式（透明模式）、三层模式（路由和NAT模式）和混合模式；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20、支持链路聚合功能、接口状态同步功能；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21、支持静态路由、等价路由，支持RIP、RIPng；OSPFv2/v3动态路由协议；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22、支持IPv4／v6 NAT地址转换，支持源目的地址转换，目的地址转换和双向地址转换，支持针对源IP或者目的IP进行连接数控制；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23、支持Land、Smurf、Fraggle、WinNuke、Ping of Death、Tear Drop、IP Spoofing攻击防护；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24、支持SYN Flood、ICMP Flood、UDP Flood、ARP Flood攻击防护，支持IP地址扫描，端口扫描防护，支持ARP欺骗防护功能、支持IP协议异常报文检测和TCP协议异常报文检测；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25、双机支持A/S，A/A方式部署，支持配置同步，会话同步和用户状态同步；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26、支持管理员权限分级，支持安全管理员、审计员、系统管理员三种权限；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27、支持对HTTP，FTP，SMTP，POP3协议进行病毒文件检测；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28、检测到病毒后的操作支持阻断，记录杀毒日志；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29、入侵防护漏洞规则特征库数量在6000条以上，入侵防护漏洞特征具备中文相关介绍，包括但不限于漏洞名称，危险等级，对应CVE编号；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30、支持对信任区域主机外发的异常流量进行检测，如ICMP，UDP，SYN，DNS Flood等DDoS攻击行为；</w:t>
            </w:r>
          </w:p>
        </w:tc>
      </w:tr>
      <w:tr w14:paraId="2DF6B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8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8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A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F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CF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 支持并实配10G接口数≥48个，支持25G端口速率，40G/100G接口数≥8个，为了提高设备可靠性，支持并实配可拔插双模块化电源，为了提高设备散热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性能，支持四个模块化风扇插槽，前后风道。</w:t>
            </w:r>
          </w:p>
          <w:p w14:paraId="7B6B2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 交换容量≥4.8Tbps， 包转发率≥2000Mpps。</w:t>
            </w:r>
          </w:p>
          <w:p w14:paraId="3692F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3、支持硬件健康状态可视化，可以对风扇状态、电源、温度、板载电压进行监控，尤其是在日常巡查中发现电压异常前兆，可及时处理，避免出现电压异常宕机。</w:t>
            </w:r>
          </w:p>
          <w:p w14:paraId="2DEB7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4、支持设备智能定位，提升运维效率；</w:t>
            </w:r>
          </w:p>
          <w:p w14:paraId="5B139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5、设备支持上行端口故障隔离技术，用于监测光模块状态，一旦出现故障，可马上识别、并将故障模块隔离，确保不影响其它端口和整机的正常运行，更换模块后该端口也可马上恢复正常工作。</w:t>
            </w:r>
          </w:p>
          <w:p w14:paraId="2127D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6、支持硬件层级双boot，采用两个FLASH芯片存储boot软件（系统引导程序），实现硬件级boot冗余备份，避免因FLASH芯片故障导致交换机无法启动。</w:t>
            </w:r>
          </w:p>
          <w:p w14:paraId="47A94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7、支持RIP，OSPF，BGP，RIPng，OSPFv3，BGP4+。</w:t>
            </w:r>
          </w:p>
          <w:p w14:paraId="27129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8、支持多虚一技术，可将多台物理设备虚拟化为一台逻辑设备</w:t>
            </w:r>
          </w:p>
          <w:p w14:paraId="77CAE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9、支持跨设备链路聚合MLAG，支持无损升级不断流，支持MLAG快速收敛(20ms流量无丢包)，支持一致性检查，支持MLAG层组播，支持MLAG接入动态路由(OSPF、OSPFV3、BGP、BGP4+)。</w:t>
            </w:r>
          </w:p>
        </w:tc>
      </w:tr>
      <w:tr w14:paraId="32665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2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监控录像机汇聚管理平台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5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D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15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视频、门禁、可视对讲、停车管理、人员布控、人车智能搜索、人员测温、视频联网、入侵报警、设备网络管理、视频质量诊断业务，支持测温防疫、高空抛物事件、电动车进电梯、电瓶车违规停放、人员离岗等智能报警事件；内置安防综合管理软件升级扩容授权，要求和医院现有监控平台实现无缝对接和平滑升级，实现对院区内所有安防设备做统一管理和数据汇聚，提供无缝对接承诺函。</w:t>
            </w:r>
          </w:p>
          <w:p w14:paraId="53879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2.设备具有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1个DP接口、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2个HDMI接口，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1个VGA口、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4个RJ45 10/100/1000Mbps 自适应以太网口、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7个USB接口（其中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5个USB2.0接口,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2个USB3.0接口）、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1个RS-485接口、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1个RS-232接口、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16路报警输入接口、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4路报警输出接口、 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5个SATA 3.0接口；具有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2路音频输入（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1路3.5mm，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1路RCA），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2路音频输出（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1路3.5mm、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1路RCA）</w:t>
            </w:r>
          </w:p>
          <w:p w14:paraId="72747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支持≥500路视频，≥100个门禁，≥2000户可视对讲，≥1万人员，≥8车道，≥320个防区管理</w:t>
            </w:r>
          </w:p>
          <w:p w14:paraId="45781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置目标识别应用：名单库比对报警，支持最大8路图片流分析或2路视频流分析（400W视频流），16个目标名单库，总库容5万张（证件照），抓拍库500万张目标图片，支持陌生人报警、目标1V1比对，支持以图搜图、按姓名检索、按属性检索，GPU分析能力：图片流：8路；视频流：2路200W/2路400W，单个GPU条件下，人脸库建模速度不低于16张/秒。</w:t>
            </w:r>
          </w:p>
          <w:p w14:paraId="05469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支持人员信息采集，可对人脸照片质量进行评价（合格/不合格），采集方式包括：①通过多功能采集仪在线采集人脸、指纹、身份证信息；②在公网或内网环境下，通过APP实现人脸照片采集；③通过人证比对设备实现离线或在线采集人脸照片；④通过平台批量导入人脸照片，并验证人脸照片命名、大小和质量是否符合要求。</w:t>
            </w:r>
          </w:p>
          <w:p w14:paraId="00BEC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运行管理中心提供统一的认证、授权管理机制，支持HTTPS以及密码安全加密访问认证，设备和平台对接要求支持ISUP/EZVIZ/GB28181/SDK等多种协议。</w:t>
            </w:r>
          </w:p>
          <w:p w14:paraId="02BDE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4.支持业务应用组件化，各组件独立运行、维护，支持独立安装或卸载。</w:t>
            </w:r>
          </w:p>
          <w:p w14:paraId="60CDF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支持多类数据自定义扩展，包括门禁事件展示信息与查询信息自定义扩展、考勤数据来源自定义扩展、考勤事件类型自定义扩展、考勤规则自定义扩展、食堂消费规则自定义扩展、巡更点自定义扩展、车辆和卡片信息自定义扩展、停车场放行规则自定义扩展、停车场收费规则自定义扩展、停车场支付方式自定义扩展。</w:t>
            </w:r>
          </w:p>
          <w:p w14:paraId="1CD73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客户端支持在1/2/3/4/6/8/9/10/13/14/16/17/24/25画面分隔模式下进行监控点轮巡预览，轮巡时间可设置，支持全屏显示。</w:t>
            </w:r>
          </w:p>
          <w:p w14:paraId="62B41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6.支持在视频预览、录像回放、即时回放、录像剪辑、手动录像和录像下载时叠加水印</w:t>
            </w:r>
          </w:p>
          <w:p w14:paraId="537D5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7.支持管理10个电视墙，监控点上墙出图像耗时小于3秒，支持电视墙场景管理和场景切换</w:t>
            </w:r>
          </w:p>
          <w:p w14:paraId="2F0A0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支持大屏控制，可对大屏进行1/4/9/16/25分屏、拼接、开窗、窗口漫游的操作，通过客户端支持电视墙开窗后支持分割，并可将大屏分屏配置另保存为场景，支持在iPad上操作监控点上墙、拼接、分屏、漫游、预案切换等操作</w:t>
            </w:r>
          </w:p>
          <w:p w14:paraId="1C241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通过客户端支持预览上墙、回放上墙、轮巡上墙、报警联动上墙，通过配置窗口分屏数（1/4/9/16/25），使预览上墙分割数等于或大于配置的数时上墙子码流，低于配置的分屏数时上墙主码流</w:t>
            </w:r>
          </w:p>
          <w:p w14:paraId="69245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支持在线和离线GIS地图、静态地图导入，同时支持对一个区域添加多张静态地图，支持在地图上添加标记、收藏、测量、放大缩小等基本地图工具，支持地图上资源点的搜索，实现在地图上资源的快速定位，支持资源点报警时，在地图上发生颜色变化，按不同等级的报警显示报警数，并显示报警列表</w:t>
            </w:r>
          </w:p>
          <w:p w14:paraId="4CF40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10.支持以脸搜脸的多脸模式，上传一张图片中有多个人脸时，可对图片中的多个人脸一次识别后依次选择进行以脸搜脸，无需多次上传，人脸数最大不超过五个</w:t>
            </w:r>
          </w:p>
          <w:p w14:paraId="58140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支持门禁权限自动下发更新数据到设备；可配置固定时间、固定次数自动下发异动的门禁权限，包含卡、人脸、指纹；支持人员的卡权限在平台进行权限认证，当卡权限还未下发到设备时，平台可以根据刷卡事件进行人员权限判断并进行反控开门；支持人员通行记录区分：内部人员、外部人员、陌生人员</w:t>
            </w:r>
          </w:p>
          <w:p w14:paraId="2F630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12.支持根据用户使用习惯自定义配置快捷功能入口，支持首页投放大屏展示，支持最近7天每日的用户活跃数统计</w:t>
            </w:r>
          </w:p>
          <w:p w14:paraId="76491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多种事件类型配置联动规则，事件源包含：通用视频事件、入侵报警事件、IO事件、门禁事件、停车场事件、可视对讲事件、园区卡口事件、行车监控事件、梯控事件、动环事件、人脸识别事件、消防事件、热成像事件、行为分析事件；支持自定义事件等级</w:t>
            </w:r>
          </w:p>
          <w:p w14:paraId="2DD14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13.支持报警预案功能，配置事件联动时可以自定义输入预案</w:t>
            </w:r>
          </w:p>
          <w:p w14:paraId="40014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支持对监控点、编码设备的在线状态进行设备巡检，并以统计图方式展示巡检结果；支持对监控的图像进行视频质量诊断，图像异常项包括图像偏色、噪声干扰、图像过暗、图像过亮、视频丢帧、视频抖动、对比度异常、条纹干扰、视频遮挡、信号丢失、图像黑白、图像模糊、场景变换、视频剧变</w:t>
            </w:r>
          </w:p>
          <w:p w14:paraId="6B099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支持对历史录像的完整率进行监控，统计项包括录像完整数、录像丢失数、巡检失败数、未检测数、监控点总数；支持以统计图展现指定区域的录像完整情况，支持报表展示视频质量统计、录像完整率统计、区域运维考核结果统计，支持设备巡检计划配置，包括计划名称、巡检类型、采集对象、巡检时间、巡检频率、状态，并以列表形式展现</w:t>
            </w:r>
          </w:p>
          <w:p w14:paraId="3EC55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支持按测温分组、测温点和测温时间筛选测温数据，可根据测温数据制作统计报表，统计报表包括监测数据总览、未登记情况统计、登记情况统计、登记状态占比、来自疫区占比图，支持将在线报告保存至本地或报告库，报告库中包含历史保存到报告库中的在线报告，可通过生成日期搜索报告库中的报告，可在线预览和保存到本地</w:t>
            </w:r>
          </w:p>
          <w:p w14:paraId="18B28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17.支持GB/T 28181-2011/2016协议平台级联配置</w:t>
            </w:r>
          </w:p>
          <w:p w14:paraId="78460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18.支持开启SVC解码功能，可同时回放5路400W分辨率、H.264/H.265编码格式的视频图像，解码总资源为10个1920×1080格式的视频图像</w:t>
            </w:r>
          </w:p>
          <w:p w14:paraId="053E1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19.显示输出分辨率具有1024×768/60Hz、1280×720/60Hz、1280×1024/60Hz、1600×1200/60Hz、1920×1080/60Hz、2560×1440/60Hz、4K(3840×2160)/30Hz、4K(4096×2160)/30Hz设置选项</w:t>
            </w:r>
          </w:p>
          <w:p w14:paraId="71FCC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20.智能后检索：接入支持智能分析功能的IPC，录像回放时，可设置移动侦测区域、越界/区域入侵区域并进行检索，可自动跳过未触发设定规则的录像，只播放触发规则的录像，并且播放速度可设置</w:t>
            </w:r>
          </w:p>
          <w:p w14:paraId="33A26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21.网络容错：可将多个网口设置同一IP地址，其中任一网口损坏时，仍能正常工作</w:t>
            </w:r>
          </w:p>
          <w:p w14:paraId="7D2F6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22.可对IPC的参数配置进行修改，可设置曝光、日夜转换、背光、图像增强、分辨率、码率、帧率、字符叠加、隐私遮盖等；并支持将IPC参数配置到其他通道</w:t>
            </w:r>
          </w:p>
          <w:p w14:paraId="52087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23.支持接入高级移动侦测的相机，移动侦测报警能够区分是人、车还是其它目标产生，可录像和记录报警信息；</w:t>
            </w:r>
          </w:p>
          <w:p w14:paraId="3BBE9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接入警戒摄像机，支持对IPC的声音和闪光参数进行配置， 支持通过移动侦测、区域入侵、越界侦测、进入区域和离开区域事件联动一个或多个IPC的声光报警，可以对声光联动一键撤防</w:t>
            </w:r>
          </w:p>
          <w:p w14:paraId="6053F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24.人脸侦测：接入带有人脸侦测报警功能的IPC，当触发报警时，样机可联动录像、抓拍并保存图片、弹出报警画面、声音警告、上传中心、发送邮件、触发报警输出，可联动外接球机预置点、球机轮巡、球机轨迹</w:t>
            </w:r>
          </w:p>
          <w:p w14:paraId="4FC0C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车牌侦测：接入带有车牌侦测报警功能的IPC，可导入导出车牌黑白名单，可单独设置黑白名单报警联动、白名单报警联动，可设置图片叠加监测点编号、监测点信息、设备编号、车牌号码、抓拍时间等信息，当触发报警时，可联动录像、抓拍并保存图片，同时弹出报警画面、声音警告、上传中心、发送邮件、触发报警输出；可联动球机预置点、球机轮巡、球机轨迹，并可按通道、时间、车牌号码检索图片</w:t>
            </w:r>
          </w:p>
          <w:p w14:paraId="7A543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26.支持将多路通道的视频画面合并为一个画面，用单个通道的带宽在客户端软件中查看，并可设置帧率、码率</w:t>
            </w:r>
          </w:p>
          <w:p w14:paraId="61211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5321C91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E463FA3">
      <w:pPr>
        <w:pStyle w:val="6"/>
        <w:ind w:left="0" w:leftChars="0" w:firstLine="0" w:firstLineChars="0"/>
        <w:jc w:val="both"/>
        <w:rPr>
          <w:rFonts w:hint="eastAsia" w:ascii="方正仿宋_GBK" w:hAnsi="方正仿宋_GBK" w:eastAsia="方正仿宋_GBK" w:cs="方正仿宋_GBK"/>
          <w:kern w:val="2"/>
          <w:sz w:val="36"/>
          <w:szCs w:val="36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6"/>
          <w:szCs w:val="36"/>
          <w:lang w:val="en-US" w:eastAsia="zh-CN" w:bidi="ar-SA"/>
        </w:rPr>
        <w:t>附件2</w:t>
      </w:r>
    </w:p>
    <w:p w14:paraId="39ADE785">
      <w:pPr>
        <w:pStyle w:val="6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  <w:t>报价单</w:t>
      </w:r>
    </w:p>
    <w:tbl>
      <w:tblPr>
        <w:tblStyle w:val="8"/>
        <w:tblW w:w="8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340"/>
        <w:gridCol w:w="4186"/>
        <w:gridCol w:w="1091"/>
      </w:tblGrid>
      <w:tr w14:paraId="0949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 w14:paraId="1EDE1B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340" w:type="dxa"/>
          </w:tcPr>
          <w:p w14:paraId="39AFF8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4186" w:type="dxa"/>
          </w:tcPr>
          <w:p w14:paraId="794943D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  <w:t>总费用（元）</w:t>
            </w:r>
          </w:p>
        </w:tc>
        <w:tc>
          <w:tcPr>
            <w:tcW w:w="1091" w:type="dxa"/>
          </w:tcPr>
          <w:p w14:paraId="5F65F1D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  <w:t>备注</w:t>
            </w:r>
          </w:p>
        </w:tc>
      </w:tr>
      <w:tr w14:paraId="0323B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015" w:type="dxa"/>
            <w:vAlign w:val="center"/>
          </w:tcPr>
          <w:p w14:paraId="7A67487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340" w:type="dxa"/>
            <w:vAlign w:val="center"/>
          </w:tcPr>
          <w:p w14:paraId="5647ACC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3"/>
                <w:szCs w:val="33"/>
                <w:vertAlign w:val="baseline"/>
                <w:lang w:val="en-US" w:eastAsia="zh-CN" w:bidi="ar-SA"/>
              </w:rPr>
              <w:t>机房动环监控系统</w:t>
            </w:r>
          </w:p>
        </w:tc>
        <w:tc>
          <w:tcPr>
            <w:tcW w:w="4186" w:type="dxa"/>
          </w:tcPr>
          <w:p w14:paraId="3DF07A3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  <w:tc>
          <w:tcPr>
            <w:tcW w:w="1091" w:type="dxa"/>
          </w:tcPr>
          <w:p w14:paraId="4BCF3C0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  <w:t>1套</w:t>
            </w:r>
          </w:p>
        </w:tc>
      </w:tr>
      <w:tr w14:paraId="0C32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015" w:type="dxa"/>
            <w:vAlign w:val="center"/>
          </w:tcPr>
          <w:p w14:paraId="695B105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340" w:type="dxa"/>
            <w:vAlign w:val="center"/>
          </w:tcPr>
          <w:p w14:paraId="4E165E4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中心母钟服务器</w:t>
            </w:r>
          </w:p>
        </w:tc>
        <w:tc>
          <w:tcPr>
            <w:tcW w:w="4186" w:type="dxa"/>
          </w:tcPr>
          <w:p w14:paraId="5CB7D36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  <w:tc>
          <w:tcPr>
            <w:tcW w:w="1091" w:type="dxa"/>
          </w:tcPr>
          <w:p w14:paraId="3B31B76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  <w:t>2台</w:t>
            </w:r>
          </w:p>
        </w:tc>
      </w:tr>
      <w:tr w14:paraId="42A3B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015" w:type="dxa"/>
            <w:vAlign w:val="center"/>
          </w:tcPr>
          <w:p w14:paraId="162A9C1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340" w:type="dxa"/>
            <w:vAlign w:val="center"/>
          </w:tcPr>
          <w:p w14:paraId="5550C4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防火墙</w:t>
            </w:r>
          </w:p>
        </w:tc>
        <w:tc>
          <w:tcPr>
            <w:tcW w:w="4186" w:type="dxa"/>
          </w:tcPr>
          <w:p w14:paraId="3CF713F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  <w:tc>
          <w:tcPr>
            <w:tcW w:w="1091" w:type="dxa"/>
          </w:tcPr>
          <w:p w14:paraId="6D0BFE4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  <w:t>2台</w:t>
            </w:r>
          </w:p>
        </w:tc>
      </w:tr>
      <w:tr w14:paraId="6F05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015" w:type="dxa"/>
            <w:vAlign w:val="center"/>
          </w:tcPr>
          <w:p w14:paraId="00A7B97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340" w:type="dxa"/>
            <w:vAlign w:val="center"/>
          </w:tcPr>
          <w:p w14:paraId="3AA8CD2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4186" w:type="dxa"/>
          </w:tcPr>
          <w:p w14:paraId="0A2E557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  <w:tc>
          <w:tcPr>
            <w:tcW w:w="1091" w:type="dxa"/>
          </w:tcPr>
          <w:p w14:paraId="35377BE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  <w:t>2台</w:t>
            </w:r>
          </w:p>
        </w:tc>
      </w:tr>
      <w:tr w14:paraId="5DD1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015" w:type="dxa"/>
            <w:vAlign w:val="center"/>
          </w:tcPr>
          <w:p w14:paraId="5EA16FF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340" w:type="dxa"/>
            <w:vAlign w:val="center"/>
          </w:tcPr>
          <w:p w14:paraId="346AF70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监控录像机汇聚管理平台</w:t>
            </w:r>
          </w:p>
        </w:tc>
        <w:tc>
          <w:tcPr>
            <w:tcW w:w="4186" w:type="dxa"/>
          </w:tcPr>
          <w:p w14:paraId="156D048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  <w:tc>
          <w:tcPr>
            <w:tcW w:w="1091" w:type="dxa"/>
          </w:tcPr>
          <w:p w14:paraId="72E5EFD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  <w:t>1套</w:t>
            </w:r>
          </w:p>
        </w:tc>
      </w:tr>
    </w:tbl>
    <w:p w14:paraId="7156092C">
      <w:pPr>
        <w:pStyle w:val="6"/>
        <w:ind w:left="0" w:leftChars="0" w:firstLine="0" w:firstLineChars="0"/>
        <w:rPr>
          <w:rFonts w:hint="eastAsia" w:ascii="Times New Roman" w:hAnsi="Times New Roman" w:cs="Times New Roman"/>
          <w:kern w:val="2"/>
          <w:sz w:val="33"/>
          <w:szCs w:val="33"/>
          <w:u w:val="single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3"/>
          <w:szCs w:val="33"/>
          <w:lang w:val="en-US" w:eastAsia="zh-CN" w:bidi="ar-SA"/>
        </w:rPr>
        <w:t xml:space="preserve">     总费用：</w:t>
      </w:r>
      <w:r>
        <w:rPr>
          <w:rFonts w:hint="eastAsia" w:ascii="Times New Roman" w:hAnsi="Times New Roman" w:cs="Times New Roman"/>
          <w:kern w:val="2"/>
          <w:sz w:val="33"/>
          <w:szCs w:val="33"/>
          <w:u w:val="single"/>
          <w:lang w:val="en-US" w:eastAsia="zh-CN" w:bidi="ar-SA"/>
        </w:rPr>
        <w:t xml:space="preserve">       </w:t>
      </w:r>
      <w:r>
        <w:rPr>
          <w:rFonts w:hint="eastAsia" w:ascii="Times New Roman" w:hAnsi="Times New Roman" w:cs="Times New Roman"/>
          <w:kern w:val="2"/>
          <w:sz w:val="33"/>
          <w:szCs w:val="33"/>
          <w:lang w:val="en-US" w:eastAsia="zh-CN" w:bidi="ar-SA"/>
        </w:rPr>
        <w:t>元，大写</w:t>
      </w:r>
      <w:r>
        <w:rPr>
          <w:rFonts w:hint="eastAsia" w:ascii="Times New Roman" w:hAnsi="Times New Roman" w:cs="Times New Roman"/>
          <w:kern w:val="2"/>
          <w:sz w:val="33"/>
          <w:szCs w:val="33"/>
          <w:u w:val="single"/>
          <w:lang w:val="en-US" w:eastAsia="zh-CN" w:bidi="ar-SA"/>
        </w:rPr>
        <w:t xml:space="preserve">               </w:t>
      </w:r>
    </w:p>
    <w:p w14:paraId="108CDA98">
      <w:pPr>
        <w:pStyle w:val="6"/>
        <w:ind w:left="0" w:leftChars="0" w:firstLine="0" w:firstLineChars="0"/>
        <w:rPr>
          <w:rFonts w:hint="eastAsia" w:ascii="Times New Roman" w:hAnsi="Times New Roman" w:cs="Times New Roman"/>
          <w:kern w:val="2"/>
          <w:sz w:val="33"/>
          <w:szCs w:val="33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3"/>
          <w:szCs w:val="33"/>
          <w:lang w:val="en-US" w:eastAsia="zh-CN" w:bidi="ar-SA"/>
        </w:rPr>
        <w:t xml:space="preserve">         </w:t>
      </w:r>
    </w:p>
    <w:p w14:paraId="02D97AB0">
      <w:pPr>
        <w:pStyle w:val="6"/>
        <w:ind w:left="0" w:leftChars="0" w:firstLine="0" w:firstLineChars="0"/>
        <w:rPr>
          <w:rFonts w:hint="eastAsia" w:ascii="Times New Roman" w:hAnsi="Times New Roman" w:cs="Times New Roman"/>
          <w:kern w:val="2"/>
          <w:sz w:val="33"/>
          <w:szCs w:val="33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3"/>
          <w:szCs w:val="33"/>
          <w:lang w:val="en-US" w:eastAsia="zh-CN" w:bidi="ar-SA"/>
        </w:rPr>
        <w:t xml:space="preserve">    联系人：            联系电话：                          </w:t>
      </w:r>
    </w:p>
    <w:p w14:paraId="01B7BCEB">
      <w:pPr>
        <w:pStyle w:val="6"/>
        <w:ind w:left="0" w:leftChars="0" w:firstLine="5280" w:firstLineChars="1600"/>
        <w:rPr>
          <w:rFonts w:hint="eastAsia" w:ascii="Times New Roman" w:hAnsi="Times New Roman" w:cs="Times New Roman"/>
          <w:kern w:val="2"/>
          <w:sz w:val="33"/>
          <w:szCs w:val="33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3"/>
          <w:szCs w:val="33"/>
          <w:lang w:val="en-US" w:eastAsia="zh-CN" w:bidi="ar-SA"/>
        </w:rPr>
        <w:t xml:space="preserve"> 报价单位：（公章）</w:t>
      </w:r>
    </w:p>
    <w:p w14:paraId="6F0C6910">
      <w:pPr>
        <w:pStyle w:val="6"/>
        <w:ind w:left="0" w:leftChars="0" w:firstLine="0" w:firstLineChars="0"/>
        <w:rPr>
          <w:rFonts w:hint="default" w:ascii="Times New Roman" w:hAnsi="Times New Roman" w:cs="Times New Roman"/>
          <w:kern w:val="2"/>
          <w:sz w:val="33"/>
          <w:szCs w:val="33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3"/>
          <w:szCs w:val="33"/>
          <w:lang w:val="en-US" w:eastAsia="zh-CN" w:bidi="ar-SA"/>
        </w:rPr>
        <w:t xml:space="preserve">                                 2025年9月XX日</w:t>
      </w:r>
    </w:p>
    <w:p w14:paraId="5121C6B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1650" w:right="0" w:firstLine="0"/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</w:pPr>
    </w:p>
    <w:p w14:paraId="047A79D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1650" w:right="0" w:firstLine="0"/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</w:pPr>
    </w:p>
    <w:p w14:paraId="02D9608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F852BB"/>
    <w:multiLevelType w:val="singleLevel"/>
    <w:tmpl w:val="F1F852B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C5678"/>
    <w:rsid w:val="09181A0E"/>
    <w:rsid w:val="09EA33AB"/>
    <w:rsid w:val="0E910299"/>
    <w:rsid w:val="11EC57E6"/>
    <w:rsid w:val="18624A54"/>
    <w:rsid w:val="18CE3FD4"/>
    <w:rsid w:val="33514BC2"/>
    <w:rsid w:val="35E054DE"/>
    <w:rsid w:val="377A7683"/>
    <w:rsid w:val="377F2AD5"/>
    <w:rsid w:val="3A3E27D3"/>
    <w:rsid w:val="3EA370A9"/>
    <w:rsid w:val="488937B4"/>
    <w:rsid w:val="49A87C69"/>
    <w:rsid w:val="4B4C5678"/>
    <w:rsid w:val="4D04165B"/>
    <w:rsid w:val="66101FF0"/>
    <w:rsid w:val="6EAB7730"/>
    <w:rsid w:val="78C7160B"/>
    <w:rsid w:val="79144F31"/>
    <w:rsid w:val="7A3A5E0C"/>
    <w:rsid w:val="7B785A20"/>
    <w:rsid w:val="7EE9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next w:val="1"/>
    <w:unhideWhenUsed/>
    <w:qFormat/>
    <w:uiPriority w:val="99"/>
    <w:pPr>
      <w:snapToGrid w:val="0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1353</Words>
  <Characters>1601</Characters>
  <Lines>0</Lines>
  <Paragraphs>0</Paragraphs>
  <TotalTime>23</TotalTime>
  <ScaleCrop>false</ScaleCrop>
  <LinksUpToDate>false</LinksUpToDate>
  <CharactersWithSpaces>1877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2025-07-30T02:29:00Z</dcterms:created>
  <dc:creator>謎男</dc:creator>
  <cp:lastModifiedBy>愉快的搬砖</cp:lastModifiedBy>
  <cp:lastPrinted>2025-08-07T00:47:00Z</cp:lastPrinted>
  <dcterms:modified xsi:type="dcterms:W3CDTF">2025-09-10T02:11:46Z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C9DA2DFECB89449F82830C2784979D8D_13</vt:lpwstr>
  </property>
  <property fmtid="{D5CDD505-2E9C-101B-9397-08002B2CF9AE}" pid="4" name="KSOTemplateDocerSaveRecord">
    <vt:lpwstr>eyJoZGlkIjoiMmU2MWI2MTFjOGRiZGE5MDZiMDYzNTE3YzRiMTQ1ZjUiLCJ1c2VySWQiOiI2NTU5OTkyNjYifQ==</vt:lpwstr>
  </property>
</Properties>
</file>